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5B513" w14:textId="7B274BB2" w:rsidR="007F2B77" w:rsidRDefault="007F2B77" w:rsidP="0000222A">
      <w:pPr>
        <w:tabs>
          <w:tab w:val="right" w:pos="9638"/>
        </w:tabs>
        <w:spacing w:after="0" w:line="267" w:lineRule="auto"/>
        <w:ind w:left="0" w:right="-640" w:firstLine="0"/>
        <w:rPr>
          <w:rFonts w:ascii="Arial" w:hAnsi="Arial" w:cs="Arial"/>
          <w:b/>
          <w:sz w:val="24"/>
        </w:rPr>
      </w:pPr>
      <w:r>
        <w:rPr>
          <w:rFonts w:ascii="Arial" w:hAnsi="Arial" w:cs="Arial"/>
          <w:b/>
          <w:sz w:val="24"/>
        </w:rPr>
        <w:t>TSG SA Meeting #SP-102</w:t>
      </w:r>
      <w:r>
        <w:rPr>
          <w:rFonts w:ascii="Arial" w:hAnsi="Arial" w:cs="Arial"/>
          <w:b/>
          <w:sz w:val="24"/>
        </w:rPr>
        <w:tab/>
        <w:t>SP-231211</w:t>
      </w:r>
    </w:p>
    <w:p w14:paraId="1B01D068" w14:textId="53A6BEE9" w:rsidR="007F2B77" w:rsidRDefault="007F2B77" w:rsidP="007F2B77">
      <w:pPr>
        <w:pBdr>
          <w:bottom w:val="single" w:sz="6" w:space="0" w:color="auto"/>
        </w:pBdr>
        <w:tabs>
          <w:tab w:val="right" w:pos="9638"/>
        </w:tabs>
        <w:spacing w:after="0" w:line="267" w:lineRule="auto"/>
        <w:ind w:left="0" w:right="1316" w:firstLine="0"/>
        <w:rPr>
          <w:rFonts w:ascii="Arial" w:hAnsi="Arial" w:cs="Arial"/>
          <w:b/>
          <w:sz w:val="24"/>
        </w:rPr>
      </w:pPr>
      <w:r>
        <w:rPr>
          <w:rFonts w:ascii="Arial" w:hAnsi="Arial" w:cs="Arial"/>
          <w:b/>
          <w:sz w:val="24"/>
        </w:rPr>
        <w:t>11 - 15 December 2023, Edinburgh, Scotland</w:t>
      </w:r>
    </w:p>
    <w:p w14:paraId="1C616A28" w14:textId="3EF6DBCB" w:rsidR="00CD128F" w:rsidRDefault="0000222A" w:rsidP="004525E1">
      <w:pPr>
        <w:spacing w:after="0" w:line="267" w:lineRule="auto"/>
        <w:ind w:left="0" w:right="68" w:firstLine="0"/>
      </w:pPr>
      <w:r>
        <w:rPr>
          <w:noProof/>
        </w:rPr>
        <w:drawing>
          <wp:anchor distT="0" distB="0" distL="114300" distR="114300" simplePos="0" relativeHeight="251658240" behindDoc="0" locked="0" layoutInCell="1" allowOverlap="0" wp14:anchorId="5098D988" wp14:editId="6583761F">
            <wp:simplePos x="0" y="0"/>
            <wp:positionH relativeFrom="column">
              <wp:posOffset>4741545</wp:posOffset>
            </wp:positionH>
            <wp:positionV relativeFrom="paragraph">
              <wp:posOffset>133985</wp:posOffset>
            </wp:positionV>
            <wp:extent cx="1524000" cy="1524000"/>
            <wp:effectExtent l="0" t="0" r="0" b="0"/>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4"/>
                    <a:stretch>
                      <a:fillRect/>
                    </a:stretch>
                  </pic:blipFill>
                  <pic:spPr>
                    <a:xfrm>
                      <a:off x="0" y="0"/>
                      <a:ext cx="1524000" cy="1524000"/>
                    </a:xfrm>
                    <a:prstGeom prst="rect">
                      <a:avLst/>
                    </a:prstGeom>
                  </pic:spPr>
                </pic:pic>
              </a:graphicData>
            </a:graphic>
          </wp:anchor>
        </w:drawing>
      </w:r>
      <w:r w:rsidR="00000000">
        <w:rPr>
          <w:b/>
          <w:sz w:val="36"/>
        </w:rPr>
        <w:t>Next Generation Mobile Networks Alliance [NGMN]</w:t>
      </w:r>
      <w:r w:rsidR="00000000">
        <w:rPr>
          <w:b/>
          <w:color w:val="568E16"/>
          <w:sz w:val="36"/>
        </w:rPr>
        <w:t xml:space="preserve"> </w:t>
      </w:r>
    </w:p>
    <w:p w14:paraId="567F1B3B" w14:textId="03CE0F3A" w:rsidR="00CD128F" w:rsidRDefault="00CD128F" w:rsidP="00CB2668">
      <w:pPr>
        <w:spacing w:after="0" w:line="259" w:lineRule="auto"/>
        <w:ind w:left="0" w:firstLine="0"/>
      </w:pPr>
    </w:p>
    <w:p w14:paraId="654496FA" w14:textId="77777777" w:rsidR="00CD128F" w:rsidRDefault="00000000">
      <w:pPr>
        <w:spacing w:after="0" w:line="259" w:lineRule="auto"/>
        <w:ind w:left="0" w:firstLine="0"/>
      </w:pPr>
      <w:r>
        <w:rPr>
          <w:sz w:val="24"/>
        </w:rPr>
        <w:t xml:space="preserve"> </w:t>
      </w:r>
    </w:p>
    <w:p w14:paraId="1360DEEC" w14:textId="77777777" w:rsidR="00CD128F" w:rsidRDefault="00000000">
      <w:pPr>
        <w:ind w:left="-5"/>
      </w:pPr>
      <w:r>
        <w:rPr>
          <w:b/>
        </w:rPr>
        <w:t>Title</w:t>
      </w:r>
      <w:r>
        <w:t xml:space="preserve">: NGMN Liaison Statement to 3GPP regarding a new NGMN Board 6G Publication </w:t>
      </w:r>
    </w:p>
    <w:p w14:paraId="0654BF02" w14:textId="77777777" w:rsidR="00CD128F" w:rsidRDefault="00000000">
      <w:pPr>
        <w:spacing w:after="7" w:line="259" w:lineRule="auto"/>
        <w:ind w:left="0" w:firstLine="0"/>
      </w:pPr>
      <w:r>
        <w:t xml:space="preserve"> </w:t>
      </w:r>
    </w:p>
    <w:p w14:paraId="7C3056D6" w14:textId="77777777" w:rsidR="00CD128F" w:rsidRDefault="00000000">
      <w:pPr>
        <w:ind w:left="-5"/>
      </w:pPr>
      <w:r>
        <w:rPr>
          <w:b/>
        </w:rPr>
        <w:t>Source</w:t>
      </w:r>
      <w:r>
        <w:t xml:space="preserve">: NGMN Board </w:t>
      </w:r>
    </w:p>
    <w:p w14:paraId="658048E6" w14:textId="77777777" w:rsidR="00CD128F" w:rsidRDefault="00000000">
      <w:pPr>
        <w:ind w:left="-5" w:right="1664"/>
      </w:pPr>
      <w:r>
        <w:rPr>
          <w:b/>
        </w:rPr>
        <w:t>To</w:t>
      </w:r>
      <w:r>
        <w:t xml:space="preserve">: 3GPP PCG, 3GPP OP, 3GPP TSG RAN, 3GPP TSG CT and 3GPP TSG SA  </w:t>
      </w:r>
      <w:r>
        <w:rPr>
          <w:b/>
        </w:rPr>
        <w:t>Date</w:t>
      </w:r>
      <w:r>
        <w:t>: 20</w:t>
      </w:r>
      <w:r>
        <w:rPr>
          <w:vertAlign w:val="superscript"/>
        </w:rPr>
        <w:t>th</w:t>
      </w:r>
      <w:r>
        <w:t xml:space="preserve"> October 2023 </w:t>
      </w:r>
      <w:r>
        <w:rPr>
          <w:b/>
        </w:rPr>
        <w:t>Contacts</w:t>
      </w:r>
      <w:r>
        <w:t xml:space="preserve">: </w:t>
      </w:r>
    </w:p>
    <w:p w14:paraId="057994D2" w14:textId="77777777" w:rsidR="00CD128F" w:rsidRDefault="00000000">
      <w:pPr>
        <w:ind w:left="-5"/>
      </w:pPr>
      <w:r>
        <w:t xml:space="preserve">Programme Manager representing NGMN: Reg Cox (reg.cox@external-ngmn.org) </w:t>
      </w:r>
    </w:p>
    <w:p w14:paraId="244EFA08" w14:textId="77777777" w:rsidR="00CD128F" w:rsidRDefault="00000000">
      <w:pPr>
        <w:ind w:left="-5"/>
      </w:pPr>
      <w:r>
        <w:t>Project Leads: Luke Ibbetson (</w:t>
      </w:r>
      <w:r>
        <w:rPr>
          <w:color w:val="0463C1"/>
          <w:u w:val="single" w:color="0463C1"/>
        </w:rPr>
        <w:t>luke.ibbetson@vodafone.com</w:t>
      </w:r>
      <w:r>
        <w:t xml:space="preserve">), Javan </w:t>
      </w:r>
      <w:proofErr w:type="spellStart"/>
      <w:r>
        <w:t>Erfanian</w:t>
      </w:r>
      <w:proofErr w:type="spellEnd"/>
      <w:r>
        <w:t xml:space="preserve"> </w:t>
      </w:r>
    </w:p>
    <w:p w14:paraId="04DAD229" w14:textId="77777777" w:rsidR="00CD128F" w:rsidRDefault="00000000">
      <w:pPr>
        <w:spacing w:after="7" w:line="259" w:lineRule="auto"/>
        <w:ind w:left="0" w:firstLine="0"/>
      </w:pPr>
      <w:r>
        <w:t>(</w:t>
      </w:r>
      <w:r>
        <w:rPr>
          <w:color w:val="0463C1"/>
          <w:u w:val="single" w:color="0463C1"/>
        </w:rPr>
        <w:t>javan.erfanian@bell.ca</w:t>
      </w:r>
      <w:r>
        <w:t xml:space="preserve">)  </w:t>
      </w:r>
    </w:p>
    <w:p w14:paraId="59BD2CC9" w14:textId="77777777" w:rsidR="00CD128F" w:rsidRDefault="00000000">
      <w:pPr>
        <w:spacing w:after="11" w:line="259" w:lineRule="auto"/>
        <w:ind w:left="0" w:firstLine="0"/>
      </w:pPr>
      <w:r>
        <w:t xml:space="preserve"> </w:t>
      </w:r>
    </w:p>
    <w:p w14:paraId="496BF635" w14:textId="77777777" w:rsidR="00CD128F" w:rsidRDefault="00000000">
      <w:pPr>
        <w:spacing w:after="7" w:line="259" w:lineRule="auto"/>
        <w:ind w:left="0" w:firstLine="0"/>
      </w:pPr>
      <w:r>
        <w:t xml:space="preserve"> </w:t>
      </w:r>
    </w:p>
    <w:p w14:paraId="4DD12B44" w14:textId="77777777" w:rsidR="00CD128F" w:rsidRDefault="00000000">
      <w:pPr>
        <w:spacing w:after="7" w:line="259" w:lineRule="auto"/>
        <w:ind w:left="0" w:firstLine="0"/>
      </w:pPr>
      <w:r>
        <w:rPr>
          <w:b/>
        </w:rPr>
        <w:t xml:space="preserve">Sharing recent publication entitled “6G Position Statement: An Operator View” </w:t>
      </w:r>
    </w:p>
    <w:p w14:paraId="6C75ABA3" w14:textId="77777777" w:rsidR="00CD128F" w:rsidRDefault="00000000">
      <w:pPr>
        <w:spacing w:after="11" w:line="259" w:lineRule="auto"/>
        <w:ind w:left="0" w:firstLine="0"/>
      </w:pPr>
      <w:r>
        <w:t xml:space="preserve"> </w:t>
      </w:r>
    </w:p>
    <w:p w14:paraId="7946878B" w14:textId="77777777" w:rsidR="00CD128F" w:rsidRDefault="00000000">
      <w:pPr>
        <w:ind w:left="-5"/>
      </w:pPr>
      <w:r>
        <w:rPr>
          <w:noProof/>
        </w:rPr>
        <mc:AlternateContent>
          <mc:Choice Requires="wpg">
            <w:drawing>
              <wp:anchor distT="0" distB="0" distL="114300" distR="114300" simplePos="0" relativeHeight="251659264" behindDoc="0" locked="0" layoutInCell="1" allowOverlap="1" wp14:anchorId="6C6FAF10" wp14:editId="139BFC64">
                <wp:simplePos x="0" y="0"/>
                <wp:positionH relativeFrom="page">
                  <wp:posOffset>914400</wp:posOffset>
                </wp:positionH>
                <wp:positionV relativeFrom="page">
                  <wp:posOffset>3816591</wp:posOffset>
                </wp:positionV>
                <wp:extent cx="6631306" cy="1"/>
                <wp:effectExtent l="0" t="0" r="0" b="0"/>
                <wp:wrapTopAndBottom/>
                <wp:docPr id="1004" name="Group 1004"/>
                <wp:cNvGraphicFramePr/>
                <a:graphic xmlns:a="http://schemas.openxmlformats.org/drawingml/2006/main">
                  <a:graphicData uri="http://schemas.microsoft.com/office/word/2010/wordprocessingGroup">
                    <wpg:wgp>
                      <wpg:cNvGrpSpPr/>
                      <wpg:grpSpPr>
                        <a:xfrm>
                          <a:off x="0" y="0"/>
                          <a:ext cx="6631306" cy="1"/>
                          <a:chOff x="0" y="0"/>
                          <a:chExt cx="6631306" cy="1"/>
                        </a:xfrm>
                      </wpg:grpSpPr>
                      <wps:wsp>
                        <wps:cNvPr id="149" name="Shape 149"/>
                        <wps:cNvSpPr/>
                        <wps:spPr>
                          <a:xfrm>
                            <a:off x="0" y="0"/>
                            <a:ext cx="6631306" cy="1"/>
                          </a:xfrm>
                          <a:custGeom>
                            <a:avLst/>
                            <a:gdLst/>
                            <a:ahLst/>
                            <a:cxnLst/>
                            <a:rect l="0" t="0" r="0" b="0"/>
                            <a:pathLst>
                              <a:path w="6631306" h="1">
                                <a:moveTo>
                                  <a:pt x="0" y="0"/>
                                </a:moveTo>
                                <a:lnTo>
                                  <a:pt x="6631306" y="1"/>
                                </a:lnTo>
                              </a:path>
                            </a:pathLst>
                          </a:custGeom>
                          <a:ln w="12700" cap="flat">
                            <a:miter lim="101600"/>
                          </a:ln>
                        </wps:spPr>
                        <wps:style>
                          <a:lnRef idx="1">
                            <a:srgbClr val="A4A4A4"/>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04" style="width:522.15pt;height:9.15527e-05pt;position:absolute;mso-position-horizontal-relative:page;mso-position-horizontal:absolute;margin-left:72pt;mso-position-vertical-relative:page;margin-top:300.519pt;" coordsize="66313,0">
                <v:shape id="Shape 149" style="position:absolute;width:66313;height:0;left:0;top:0;" coordsize="6631306,1" path="m0,0l6631306,1">
                  <v:stroke weight="1pt" endcap="flat" joinstyle="miter" miterlimit="8" on="true" color="#a4a4a4"/>
                  <v:fill on="false" color="#000000" opacity="0"/>
                </v:shape>
                <w10:wrap type="topAndBottom"/>
              </v:group>
            </w:pict>
          </mc:Fallback>
        </mc:AlternateContent>
      </w:r>
      <w:r>
        <w:t xml:space="preserve">The NGMN Board would like to point 3GPP PCG, 3GPP OP, 3GPP TSG RAN, 3GPP TSG CT and 3GPP TSG SA to it’s recent 6G publication entitled “6G Position Statement: An Operator View”, available at </w:t>
      </w:r>
      <w:hyperlink r:id="rId5">
        <w:r>
          <w:rPr>
            <w:color w:val="0463C1"/>
            <w:u w:val="single" w:color="0463C1"/>
          </w:rPr>
          <w:t>https://www.ngmn.org/wp</w:t>
        </w:r>
      </w:hyperlink>
      <w:hyperlink r:id="rId6">
        <w:r>
          <w:rPr>
            <w:color w:val="0463C1"/>
            <w:u w:val="single" w:color="0463C1"/>
          </w:rPr>
          <w:t>-</w:t>
        </w:r>
      </w:hyperlink>
    </w:p>
    <w:p w14:paraId="21CADF1A" w14:textId="77777777" w:rsidR="00CD128F" w:rsidRDefault="00000000">
      <w:pPr>
        <w:spacing w:after="212"/>
        <w:ind w:left="-5"/>
      </w:pPr>
      <w:hyperlink r:id="rId7">
        <w:r>
          <w:rPr>
            <w:color w:val="0463C1"/>
            <w:u w:val="single" w:color="0463C1"/>
          </w:rPr>
          <w:t>content/uploads/NGMN_6G_Position_Statement.pdf</w:t>
        </w:r>
      </w:hyperlink>
      <w:hyperlink r:id="rId8">
        <w:r>
          <w:t>.</w:t>
        </w:r>
      </w:hyperlink>
      <w:r>
        <w:t xml:space="preserve"> This NGMN Board publication describes how the industry needs to transform the way new technology generations are introduced taking a proactive stance and emphasising the need for a graceful evolution towards 6G. </w:t>
      </w:r>
    </w:p>
    <w:p w14:paraId="7EDDA8CE" w14:textId="77777777" w:rsidR="00CD128F" w:rsidRDefault="00000000">
      <w:pPr>
        <w:spacing w:after="202"/>
        <w:ind w:left="-5"/>
      </w:pPr>
      <w:r>
        <w:t xml:space="preserve">The publication provides comprehensive guidance across several key requirements and design principles, including network simplification, absolute energy reduction, network AI transformation and predictive network management, safe and resilient infrastructure, global 6G standards, software upgrade to 6G, no intrinsic need for hardware refresh, no compromise to existing services (Voice) and access across mobile, fixed and non-terrestrial networks. </w:t>
      </w:r>
    </w:p>
    <w:p w14:paraId="18A1E82A" w14:textId="77777777" w:rsidR="00CD128F" w:rsidRDefault="00000000">
      <w:pPr>
        <w:ind w:left="-5"/>
      </w:pPr>
      <w:r>
        <w:t xml:space="preserve">NGMN encourages 3GPP members to review the Position Statement and take it into consideration for development of 3GPP standards towards 6G.  </w:t>
      </w:r>
      <w:r>
        <w:rPr>
          <w:b/>
        </w:rPr>
        <w:t>NGMN Board members will make themselves available for further explanation offline upon request</w:t>
      </w:r>
      <w:r>
        <w:t xml:space="preserve">. </w:t>
      </w:r>
    </w:p>
    <w:p w14:paraId="16545A84" w14:textId="77777777" w:rsidR="00CD128F" w:rsidRDefault="00000000">
      <w:pPr>
        <w:spacing w:after="7" w:line="259" w:lineRule="auto"/>
        <w:ind w:left="0" w:firstLine="0"/>
      </w:pPr>
      <w:r>
        <w:t xml:space="preserve"> </w:t>
      </w:r>
    </w:p>
    <w:p w14:paraId="3D2149D4" w14:textId="77777777" w:rsidR="00CD128F" w:rsidRDefault="00000000">
      <w:pPr>
        <w:ind w:left="-5"/>
      </w:pPr>
      <w:r>
        <w:t xml:space="preserve">We look forward to continuing to work closely with 3GPP in the future. </w:t>
      </w:r>
    </w:p>
    <w:p w14:paraId="411A159E" w14:textId="77777777" w:rsidR="00CD128F" w:rsidRDefault="00000000">
      <w:pPr>
        <w:spacing w:after="7" w:line="259" w:lineRule="auto"/>
        <w:ind w:left="0" w:firstLine="0"/>
      </w:pPr>
      <w:r>
        <w:t xml:space="preserve"> </w:t>
      </w:r>
    </w:p>
    <w:p w14:paraId="20BC32CE" w14:textId="77777777" w:rsidR="00CD128F" w:rsidRDefault="00000000">
      <w:pPr>
        <w:spacing w:after="11" w:line="259" w:lineRule="auto"/>
        <w:ind w:left="0" w:firstLine="0"/>
      </w:pPr>
      <w:r>
        <w:t xml:space="preserve"> </w:t>
      </w:r>
    </w:p>
    <w:p w14:paraId="6EF5CB98" w14:textId="77777777" w:rsidR="00CD128F" w:rsidRDefault="00000000">
      <w:pPr>
        <w:spacing w:after="7" w:line="259" w:lineRule="auto"/>
        <w:ind w:left="0" w:firstLine="0"/>
      </w:pPr>
      <w:r>
        <w:t xml:space="preserve"> </w:t>
      </w:r>
    </w:p>
    <w:p w14:paraId="6690805A" w14:textId="77777777" w:rsidR="00CD128F" w:rsidRDefault="00000000">
      <w:pPr>
        <w:spacing w:after="0" w:line="259" w:lineRule="auto"/>
        <w:ind w:left="0" w:firstLine="0"/>
      </w:pPr>
      <w:r>
        <w:t xml:space="preserve"> </w:t>
      </w:r>
      <w:r>
        <w:tab/>
        <w:t xml:space="preserve"> </w:t>
      </w:r>
    </w:p>
    <w:sectPr w:rsidR="00CD128F">
      <w:pgSz w:w="11899" w:h="16838"/>
      <w:pgMar w:top="1440" w:right="146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28F"/>
    <w:rsid w:val="0000222A"/>
    <w:rsid w:val="004525E1"/>
    <w:rsid w:val="007F2B77"/>
    <w:rsid w:val="00CB2668"/>
    <w:rsid w:val="00CD1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A51CE"/>
  <w15:docId w15:val="{DBB3828D-3CA7-47C6-B4B8-E125C2AAC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64" w:lineRule="auto"/>
      <w:ind w:left="10"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ngmn.org/wp-content/uploads/NGMN_6G_Position_Statement.pdf" TargetMode="External"/><Relationship Id="rId3" Type="http://schemas.openxmlformats.org/officeDocument/2006/relationships/webSettings" Target="webSettings.xml"/><Relationship Id="rId7" Type="http://schemas.openxmlformats.org/officeDocument/2006/relationships/hyperlink" Target="https://www.ngmn.org/wp-content/uploads/NGMN_6G_Position_Statement.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gmn.org/wp-content/uploads/NGMN_6G_Position_Statement.pdf" TargetMode="External"/><Relationship Id="rId5" Type="http://schemas.openxmlformats.org/officeDocument/2006/relationships/hyperlink" Target="https://www.ngmn.org/wp-content/uploads/NGMN_6G_Position_Statement.pdf"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328</Words>
  <Characters>1872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shabnam.sultana@ericsson.com Changes</dc:creator>
  <cp:keywords/>
  <cp:lastModifiedBy>shabnam.sultana@ericsson.com Changes</cp:lastModifiedBy>
  <cp:revision>5</cp:revision>
  <dcterms:created xsi:type="dcterms:W3CDTF">2023-11-07T09:23:00Z</dcterms:created>
  <dcterms:modified xsi:type="dcterms:W3CDTF">2023-11-07T09:25:00Z</dcterms:modified>
</cp:coreProperties>
</file>